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66D95A97" w:rsidR="0036183A" w:rsidRDefault="0036183A" w:rsidP="0036183A">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EE16B8" w:rsidRPr="00EE16B8">
        <w:rPr>
          <w:rFonts w:ascii="Arial" w:hAnsi="Arial" w:cs="Arial"/>
          <w:b/>
          <w:bCs/>
          <w:sz w:val="28"/>
        </w:rPr>
        <w:t>R1-2307955</w:t>
      </w:r>
    </w:p>
    <w:p w14:paraId="04386514" w14:textId="77777777" w:rsidR="0036183A" w:rsidRDefault="0036183A"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54201407"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14.1</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1DCBBC0E"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B5C1B">
        <w:rPr>
          <w:rFonts w:ascii="Arial" w:hAnsi="Arial"/>
          <w:sz w:val="24"/>
        </w:rPr>
        <w:t>Further discussion on self-evaluation assumptions</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93BB232" w14:textId="73831A67" w:rsidR="00A012A0" w:rsidRDefault="0044411D" w:rsidP="000B5C1B">
      <w:r>
        <w:t>In RAN1#112-b</w:t>
      </w:r>
      <w:r w:rsidR="0036183A">
        <w:t xml:space="preserve"> and RAN1#113, RAN1 agreed to the evaluation assumptions for IMT-2020 satellite. In particular, RAN1#113 reached the following agreement:</w:t>
      </w:r>
    </w:p>
    <w:p w14:paraId="49C42200" w14:textId="045929BA" w:rsidR="0036183A" w:rsidRDefault="0036183A" w:rsidP="000B5C1B"/>
    <w:p w14:paraId="6BA2823C" w14:textId="1C47936D" w:rsidR="0036183A" w:rsidRDefault="0036183A" w:rsidP="000B5C1B">
      <w:r>
        <w:rPr>
          <w:noProof/>
        </w:rPr>
        <mc:AlternateContent>
          <mc:Choice Requires="wps">
            <w:drawing>
              <wp:inline distT="0" distB="0" distL="0" distR="0" wp14:anchorId="00EF8FFF" wp14:editId="27D4A469">
                <wp:extent cx="5925494" cy="1404620"/>
                <wp:effectExtent l="0" t="0" r="18415" b="2667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5494" cy="1404620"/>
                        </a:xfrm>
                        <a:prstGeom prst="rect">
                          <a:avLst/>
                        </a:prstGeom>
                        <a:solidFill>
                          <a:srgbClr val="FFFFFF"/>
                        </a:solidFill>
                        <a:ln w="9525">
                          <a:solidFill>
                            <a:srgbClr val="000000"/>
                          </a:solidFill>
                          <a:miter lim="800000"/>
                          <a:headEnd/>
                          <a:tailEnd/>
                        </a:ln>
                      </wps:spPr>
                      <wps:txbx>
                        <w:txbxContent>
                          <w:p w14:paraId="3B6058F6" w14:textId="77777777" w:rsidR="0036183A" w:rsidRPr="00A439A0" w:rsidRDefault="0036183A" w:rsidP="0036183A">
                            <w:pPr>
                              <w:rPr>
                                <w:bCs/>
                                <w:lang w:eastAsia="x-none"/>
                              </w:rPr>
                            </w:pPr>
                            <w:r w:rsidRPr="00A439A0">
                              <w:rPr>
                                <w:bCs/>
                                <w:highlight w:val="green"/>
                                <w:lang w:eastAsia="x-none"/>
                              </w:rPr>
                              <w:t>Agreement</w:t>
                            </w:r>
                          </w:p>
                          <w:p w14:paraId="4704C006" w14:textId="5D17EE3B" w:rsidR="0036183A" w:rsidRDefault="0036183A">
                            <w:pPr>
                              <w:rPr>
                                <w:lang w:eastAsia="x-none"/>
                              </w:rPr>
                            </w:pPr>
                            <w:r>
                              <w:rPr>
                                <w:lang w:eastAsia="x-none"/>
                              </w:rPr>
                              <w:t xml:space="preserve">The proposals and conclusions in Section 1 of </w:t>
                            </w:r>
                            <w:r w:rsidR="00320E19" w:rsidRPr="004815C7">
                              <w:t>R1-2306083</w:t>
                            </w:r>
                            <w:r>
                              <w:rPr>
                                <w:lang w:eastAsia="x-none"/>
                              </w:rPr>
                              <w:t xml:space="preserve"> are endorsed, except for proposal 2.4 (which is already included in the proposed conclusion).</w:t>
                            </w:r>
                          </w:p>
                        </w:txbxContent>
                      </wps:txbx>
                      <wps:bodyPr rot="0" vert="horz" wrap="square" lIns="91440" tIns="45720" rIns="91440" bIns="45720" anchor="t" anchorCtr="0">
                        <a:spAutoFit/>
                      </wps:bodyPr>
                    </wps:wsp>
                  </a:graphicData>
                </a:graphic>
              </wp:inline>
            </w:drawing>
          </mc:Choice>
          <mc:Fallback>
            <w:pict>
              <v:shapetype w14:anchorId="00EF8FFF" id="_x0000_t202" coordsize="21600,21600" o:spt="202" path="m,l,21600r21600,l21600,xe">
                <v:stroke joinstyle="miter"/>
                <v:path gradientshapeok="t" o:connecttype="rect"/>
              </v:shapetype>
              <v:shape id="Text Box 217" o:spid="_x0000_s1026" type="#_x0000_t202" style="width:46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">
                <v:textbox style="mso-fit-shape-to-text:t">
                  <w:txbxContent>
                    <w:p w14:paraId="3B6058F6" w14:textId="77777777" w:rsidR="0036183A" w:rsidRPr="00A439A0" w:rsidRDefault="0036183A" w:rsidP="0036183A">
                      <w:pPr>
                        <w:rPr>
                          <w:bCs/>
                          <w:lang w:eastAsia="x-none"/>
                        </w:rPr>
                      </w:pPr>
                      <w:r w:rsidRPr="00A439A0">
                        <w:rPr>
                          <w:bCs/>
                          <w:highlight w:val="green"/>
                          <w:lang w:eastAsia="x-none"/>
                        </w:rPr>
                        <w:t>Agreement</w:t>
                      </w:r>
                    </w:p>
                    <w:p w14:paraId="4704C006" w14:textId="5D17EE3B" w:rsidR="0036183A" w:rsidRDefault="0036183A">
                      <w:pPr>
                        <w:rPr>
                          <w:lang w:eastAsia="x-none"/>
                        </w:rPr>
                      </w:pPr>
                      <w:r>
                        <w:rPr>
                          <w:lang w:eastAsia="x-none"/>
                        </w:rPr>
                        <w:t xml:space="preserve">The proposals and conclusions in Section 1 of </w:t>
                      </w:r>
                      <w:r w:rsidR="00320E19" w:rsidRPr="004815C7">
                        <w:t>R1-2306083</w:t>
                      </w:r>
                      <w:r>
                        <w:rPr>
                          <w:lang w:eastAsia="x-none"/>
                        </w:rPr>
                        <w:t xml:space="preserve"> are endorsed, except for proposal 2.4 (which is already included in the proposed conclusion).</w:t>
                      </w:r>
                    </w:p>
                  </w:txbxContent>
                </v:textbox>
                <w10:anchorlock/>
              </v:shape>
            </w:pict>
          </mc:Fallback>
        </mc:AlternateContent>
      </w:r>
    </w:p>
    <w:p w14:paraId="28A6AA53" w14:textId="1039BAFE" w:rsidR="0044411D" w:rsidRDefault="0044411D" w:rsidP="000B5C1B">
      <w:r>
        <w:t xml:space="preserve">In this contribution we </w:t>
      </w:r>
      <w:r w:rsidR="0036183A">
        <w:t>discuss</w:t>
      </w:r>
      <w:r>
        <w:t xml:space="preserve"> </w:t>
      </w:r>
      <w:r w:rsidR="0036183A">
        <w:t>a couple of issues that were discovered during the simulation campaign to produce the results for IMT-2020. Additionally, we discuss the remaining issues for the peak data rate and spectral efficiency.</w:t>
      </w:r>
    </w:p>
    <w:p w14:paraId="7F4C06C0" w14:textId="2E8D0845" w:rsidR="00482BA8" w:rsidRDefault="00482BA8" w:rsidP="008C221F">
      <w:pPr>
        <w:rPr>
          <w:b/>
          <w:bCs/>
        </w:rPr>
      </w:pPr>
    </w:p>
    <w:p w14:paraId="41F210C8" w14:textId="54F70877" w:rsidR="00963389" w:rsidRDefault="0036183A" w:rsidP="00963389">
      <w:pPr>
        <w:pStyle w:val="Heading1"/>
        <w:numPr>
          <w:ilvl w:val="0"/>
          <w:numId w:val="1"/>
        </w:numPr>
        <w:tabs>
          <w:tab w:val="num" w:pos="720"/>
        </w:tabs>
        <w:ind w:left="720" w:hanging="720"/>
        <w:jc w:val="both"/>
      </w:pPr>
      <w:r>
        <w:t>Spectral efficiency and number of users</w:t>
      </w:r>
    </w:p>
    <w:p w14:paraId="0D309877" w14:textId="18020446" w:rsidR="00FE7291" w:rsidRDefault="0036183A" w:rsidP="00806BDD">
      <w:r>
        <w:t>In our companion contribution [1] we present results for uplink spectral efficiency and throughput for NR NTN</w:t>
      </w:r>
      <w:r w:rsidR="004D08E1">
        <w:t xml:space="preserve">. </w:t>
      </w:r>
      <w:r w:rsidR="00604751">
        <w:t>In this section, we discuss the effect of scheduling bandwidth on spectral efficiency.</w:t>
      </w:r>
      <w:r w:rsidR="00B6484B">
        <w:t xml:space="preserve"> Scheduling bandwidth is</w:t>
      </w:r>
      <w:r w:rsidR="00D372F6">
        <w:t xml:space="preserve"> defined as the </w:t>
      </w:r>
      <w:r w:rsidR="000D04DB">
        <w:t>frequency domain allocation assigned to one UE at each TTI</w:t>
      </w:r>
      <w:r w:rsidR="005E2009">
        <w:t xml:space="preserve"> (slot)</w:t>
      </w:r>
      <w:r w:rsidR="000D04DB">
        <w:t xml:space="preserve"> by the scheduler.</w:t>
      </w:r>
      <w:r w:rsidR="00B6484B">
        <w:t xml:space="preserve"> </w:t>
      </w:r>
      <w:r w:rsidR="0067482B">
        <w:t xml:space="preserve">The scheduling </w:t>
      </w:r>
      <w:r w:rsidR="00B84A23">
        <w:t xml:space="preserve">unit </w:t>
      </w:r>
      <w:r w:rsidR="0067482B">
        <w:t xml:space="preserve">is </w:t>
      </w:r>
      <w:r w:rsidR="00D42554">
        <w:t xml:space="preserve">multiple </w:t>
      </w:r>
      <w:r w:rsidR="00E05E8A">
        <w:t>resource blocks</w:t>
      </w:r>
      <w:r w:rsidR="00D42554">
        <w:t xml:space="preserve">. </w:t>
      </w:r>
      <w:r w:rsidR="005E2009">
        <w:t xml:space="preserve">We present the results for two </w:t>
      </w:r>
      <w:r w:rsidR="00E05E8A">
        <w:t xml:space="preserve">scheduling unit </w:t>
      </w:r>
      <w:r w:rsidR="00B428F9">
        <w:t>sizes</w:t>
      </w:r>
      <w:r w:rsidR="005E2009">
        <w:t xml:space="preserve">, </w:t>
      </w:r>
      <w:r w:rsidR="00806BDD">
        <w:t>1 PRB and 5 PRB</w:t>
      </w:r>
      <w:r w:rsidR="00B428F9">
        <w:t>.</w:t>
      </w:r>
      <w:r w:rsidR="00FA5705">
        <w:t xml:space="preserve"> </w:t>
      </w:r>
      <w:r w:rsidR="00C914CB">
        <w:t xml:space="preserve">Since UL is power limited, even with 1 PRB </w:t>
      </w:r>
      <w:r w:rsidR="00E05E8A">
        <w:t>unit</w:t>
      </w:r>
      <w:r w:rsidR="00C914CB">
        <w:t xml:space="preserve">, </w:t>
      </w:r>
      <w:r w:rsidR="00B428F9">
        <w:t xml:space="preserve">the scheduler does not assign more than one </w:t>
      </w:r>
      <w:r w:rsidR="00E05E8A">
        <w:t xml:space="preserve">unit </w:t>
      </w:r>
      <w:r w:rsidR="00B428F9">
        <w:t>to a UE at one TTI</w:t>
      </w:r>
      <w:r w:rsidR="0066154C">
        <w:t>, thereby keeping most RBs unused.</w:t>
      </w:r>
      <w:r w:rsidR="000A2CA0">
        <w:t xml:space="preserve"> </w:t>
      </w:r>
      <w:r w:rsidR="00FE7291">
        <w:t xml:space="preserve">As a </w:t>
      </w:r>
      <w:r w:rsidR="0066716A">
        <w:t>result,</w:t>
      </w:r>
      <w:r w:rsidR="00FE7291">
        <w:t xml:space="preserve"> we observe the following:</w:t>
      </w:r>
    </w:p>
    <w:p w14:paraId="5942E7CF" w14:textId="552D7633" w:rsidR="007619E8" w:rsidRDefault="00FE7291" w:rsidP="00FE7291">
      <w:pPr>
        <w:pStyle w:val="ListParagraph"/>
        <w:numPr>
          <w:ilvl w:val="0"/>
          <w:numId w:val="23"/>
        </w:numPr>
      </w:pPr>
      <w:r>
        <w:t xml:space="preserve">With </w:t>
      </w:r>
      <w:r w:rsidR="00E05E8A">
        <w:t xml:space="preserve">a scheduling unit of </w:t>
      </w:r>
      <w:r w:rsidR="0053141A">
        <w:t>5 PRBs which is equivalent to</w:t>
      </w:r>
      <w:r w:rsidR="00F81D22">
        <w:t xml:space="preserve"> scheduling</w:t>
      </w:r>
      <w:r w:rsidR="0053141A">
        <w:t xml:space="preserve"> </w:t>
      </w:r>
      <w:r w:rsidR="00612BA3">
        <w:t>5 PRBs</w:t>
      </w:r>
      <w:r w:rsidR="0066716A">
        <w:t>/UE</w:t>
      </w:r>
      <w:r>
        <w:t>,</w:t>
      </w:r>
      <w:r w:rsidR="00612BA3">
        <w:t xml:space="preserve"> </w:t>
      </w:r>
      <w:r w:rsidR="007619E8">
        <w:t>we obtain more</w:t>
      </w:r>
      <w:r w:rsidR="00806BDD">
        <w:t xml:space="preserve"> user experienced throughput </w:t>
      </w:r>
      <w:r w:rsidR="00521652">
        <w:t xml:space="preserve">(which is # of bits accumulated/simulation time) </w:t>
      </w:r>
      <w:r w:rsidR="00612BA3">
        <w:t>than</w:t>
      </w:r>
      <w:r w:rsidR="007C3527">
        <w:t xml:space="preserve"> </w:t>
      </w:r>
      <w:r w:rsidR="00F81D22">
        <w:t xml:space="preserve">with a scheduling unit of </w:t>
      </w:r>
      <w:r w:rsidR="0053141A">
        <w:t>1 PRB</w:t>
      </w:r>
      <w:r w:rsidR="007C3527">
        <w:t>.</w:t>
      </w:r>
      <w:r w:rsidR="00521652">
        <w:t xml:space="preserve"> </w:t>
      </w:r>
    </w:p>
    <w:p w14:paraId="70448806" w14:textId="77777777" w:rsidR="003C7A3D" w:rsidRDefault="005F5D6B" w:rsidP="00FE7291">
      <w:pPr>
        <w:pStyle w:val="ListParagraph"/>
        <w:numPr>
          <w:ilvl w:val="0"/>
          <w:numId w:val="23"/>
        </w:numPr>
      </w:pPr>
      <w:r>
        <w:t xml:space="preserve">However, if we observe the spectral efficiencies </w:t>
      </w:r>
      <w:r w:rsidR="001839E2">
        <w:t xml:space="preserve">(which is </w:t>
      </w:r>
      <w:r w:rsidR="00FE5671">
        <w:t>obtained by dividing</w:t>
      </w:r>
      <w:r w:rsidR="001839E2">
        <w:t xml:space="preserve"> the user </w:t>
      </w:r>
      <w:r w:rsidR="00FE5671">
        <w:t>experienced</w:t>
      </w:r>
      <w:r w:rsidR="001839E2">
        <w:t xml:space="preserve"> throughput </w:t>
      </w:r>
      <w:r w:rsidR="00FE5671">
        <w:t>by</w:t>
      </w:r>
      <w:r w:rsidR="001839E2">
        <w:t xml:space="preserve"> scheduling</w:t>
      </w:r>
      <w:r w:rsidR="00FE5671">
        <w:t xml:space="preserve"> bandwidth),</w:t>
      </w:r>
      <w:r w:rsidR="00612BA3">
        <w:t xml:space="preserve"> the spectral efficiency with 1 PRB/UE is better than the spectral efficiency with 5 PRBs/UE. </w:t>
      </w:r>
    </w:p>
    <w:p w14:paraId="3B625534" w14:textId="102345D8" w:rsidR="002F24B7" w:rsidRDefault="002F24B7" w:rsidP="001801C3">
      <w:r>
        <w:t>This implies that the system can admit more number of UEs</w:t>
      </w:r>
      <w:r w:rsidR="0088110D">
        <w:t xml:space="preserve"> which will increase </w:t>
      </w:r>
      <w:r w:rsidR="00137DBA">
        <w:t xml:space="preserve">the </w:t>
      </w:r>
      <w:r w:rsidR="00381224">
        <w:t>achievable cell</w:t>
      </w:r>
      <w:r w:rsidR="00137DBA">
        <w:t xml:space="preserve"> spectral efficiency at the expense of reducing </w:t>
      </w:r>
      <w:r w:rsidR="00381224">
        <w:t xml:space="preserve">per-user spectral efficiency. </w:t>
      </w:r>
    </w:p>
    <w:p w14:paraId="1A401A7E" w14:textId="77777777" w:rsidR="00381224" w:rsidRPr="0036183A" w:rsidRDefault="00381224" w:rsidP="00381224">
      <w:pPr>
        <w:rPr>
          <w:b/>
          <w:bCs/>
        </w:rPr>
      </w:pPr>
      <w:r w:rsidRPr="0036183A">
        <w:rPr>
          <w:b/>
          <w:bCs/>
          <w:u w:val="single"/>
        </w:rPr>
        <w:t>Proposal</w:t>
      </w:r>
      <w:r>
        <w:rPr>
          <w:b/>
          <w:bCs/>
          <w:u w:val="single"/>
        </w:rPr>
        <w:t xml:space="preserve"> 1</w:t>
      </w:r>
      <w:r w:rsidRPr="0036183A">
        <w:rPr>
          <w:b/>
          <w:bCs/>
          <w:u w:val="single"/>
        </w:rPr>
        <w:t>:</w:t>
      </w:r>
      <w:r>
        <w:rPr>
          <w:b/>
          <w:bCs/>
        </w:rPr>
        <w:t xml:space="preserve"> RAN1 to discuss whether to increase the number of users per cell to increase the achievable spectral efficiency.</w:t>
      </w:r>
    </w:p>
    <w:p w14:paraId="1B6DB235" w14:textId="1DC10F4C" w:rsidR="001744E0" w:rsidRPr="00A6230F" w:rsidRDefault="001744E0" w:rsidP="00806BDD">
      <w:pPr>
        <w:rPr>
          <w:b/>
          <w:bCs/>
        </w:rPr>
      </w:pPr>
    </w:p>
    <w:tbl>
      <w:tblPr>
        <w:tblStyle w:val="TableGridLight"/>
        <w:tblW w:w="10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5040"/>
      </w:tblGrid>
      <w:tr w:rsidR="004271EE" w14:paraId="386D2109" w14:textId="77777777" w:rsidTr="004D08E1">
        <w:tc>
          <w:tcPr>
            <w:tcW w:w="5040" w:type="dxa"/>
          </w:tcPr>
          <w:p w14:paraId="2F41D95F" w14:textId="2A445A74" w:rsidR="004D08E1" w:rsidRDefault="00555D8D" w:rsidP="004D08E1">
            <w:pPr>
              <w:keepNext/>
            </w:pPr>
            <w:r>
              <w:rPr>
                <w:noProof/>
              </w:rPr>
              <w:lastRenderedPageBreak/>
              <w:drawing>
                <wp:inline distT="0" distB="0" distL="0" distR="0" wp14:anchorId="0C7A7DF6" wp14:editId="2393EFEF">
                  <wp:extent cx="2943225" cy="2207419"/>
                  <wp:effectExtent l="0" t="0" r="0" b="2540"/>
                  <wp:docPr id="3"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a graph&#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965021" cy="2223766"/>
                          </a:xfrm>
                          <a:prstGeom prst="rect">
                            <a:avLst/>
                          </a:prstGeom>
                        </pic:spPr>
                      </pic:pic>
                    </a:graphicData>
                  </a:graphic>
                </wp:inline>
              </w:drawing>
            </w:r>
          </w:p>
          <w:p w14:paraId="14A5406C" w14:textId="54F0DAD7" w:rsidR="007F5D7F" w:rsidRDefault="004D08E1" w:rsidP="004D08E1">
            <w:pPr>
              <w:pStyle w:val="Caption"/>
            </w:pPr>
            <w:r>
              <w:t>Figure 2.1-1: User spectral efficiency for NR NTN UL</w:t>
            </w:r>
          </w:p>
        </w:tc>
        <w:tc>
          <w:tcPr>
            <w:tcW w:w="5040" w:type="dxa"/>
          </w:tcPr>
          <w:p w14:paraId="54CFDE8C" w14:textId="0B4F7146" w:rsidR="004D08E1" w:rsidRDefault="00912CDC" w:rsidP="004D08E1">
            <w:pPr>
              <w:keepNext/>
            </w:pPr>
            <w:r>
              <w:rPr>
                <w:noProof/>
              </w:rPr>
              <w:drawing>
                <wp:inline distT="0" distB="0" distL="0" distR="0" wp14:anchorId="01B93239" wp14:editId="6A75ED89">
                  <wp:extent cx="2911102" cy="2182495"/>
                  <wp:effectExtent l="0" t="0" r="3810" b="8255"/>
                  <wp:docPr id="5" name="Picture 5" descr="A graph with a blue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with a blue line&#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23762" cy="2191986"/>
                          </a:xfrm>
                          <a:prstGeom prst="rect">
                            <a:avLst/>
                          </a:prstGeom>
                        </pic:spPr>
                      </pic:pic>
                    </a:graphicData>
                  </a:graphic>
                </wp:inline>
              </w:drawing>
            </w:r>
          </w:p>
          <w:p w14:paraId="459995BF" w14:textId="2FD87EA2" w:rsidR="004D08E1" w:rsidRDefault="004D08E1" w:rsidP="004D08E1">
            <w:pPr>
              <w:pStyle w:val="Caption"/>
            </w:pPr>
            <w:r>
              <w:t>Figure 2.1-2: User throughput for NR NTN UL</w:t>
            </w:r>
          </w:p>
          <w:p w14:paraId="22A53EF6" w14:textId="03C918FA" w:rsidR="007F5D7F" w:rsidRDefault="007F5D7F" w:rsidP="007F5D7F"/>
        </w:tc>
      </w:tr>
    </w:tbl>
    <w:p w14:paraId="04FE5CF8" w14:textId="77777777" w:rsidR="0036183A" w:rsidRDefault="0036183A" w:rsidP="0036183A"/>
    <w:p w14:paraId="53FDB33F" w14:textId="4391F00D" w:rsidR="0036183A" w:rsidRDefault="0036183A" w:rsidP="0036183A">
      <w:pPr>
        <w:pStyle w:val="Heading1"/>
        <w:numPr>
          <w:ilvl w:val="0"/>
          <w:numId w:val="1"/>
        </w:numPr>
        <w:tabs>
          <w:tab w:val="num" w:pos="720"/>
        </w:tabs>
        <w:ind w:left="720" w:hanging="720"/>
        <w:jc w:val="both"/>
      </w:pPr>
      <w:r>
        <w:t xml:space="preserve">Usage of 16-QAM </w:t>
      </w:r>
      <w:r w:rsidR="00B56DE0">
        <w:t>for mMTC SE</w:t>
      </w:r>
    </w:p>
    <w:p w14:paraId="5B046E06" w14:textId="2CC4A74A" w:rsidR="0036183A" w:rsidRDefault="00B56DE0" w:rsidP="0036183A">
      <w:r>
        <w:t xml:space="preserve">The agreed evaluation assumptions for mMTC LLS </w:t>
      </w:r>
      <w:r w:rsidR="00614FB5">
        <w:t>for eMTC and NR set the modulation order to be QPSK. In some cases, however, we found that using 16-QAM would lead to a larger spectral efficiency value (at the higher end of the S</w:t>
      </w:r>
      <w:r w:rsidR="00EF6FAE">
        <w:t>I</w:t>
      </w:r>
      <w:r w:rsidR="00614FB5">
        <w:t>NR CDF). Therefore, we propose to allow using 16-QAM (in addition to QPSK)</w:t>
      </w:r>
      <w:r w:rsidR="00491971">
        <w:t xml:space="preserve"> for LLS mMTC</w:t>
      </w:r>
    </w:p>
    <w:p w14:paraId="412180C8" w14:textId="3ED474BE" w:rsidR="00B56DE0" w:rsidRPr="00EF6FAE" w:rsidRDefault="00B56DE0" w:rsidP="0036183A">
      <w:pPr>
        <w:rPr>
          <w:b/>
          <w:bCs/>
        </w:rPr>
      </w:pPr>
      <w:r w:rsidRPr="00EF6FAE">
        <w:rPr>
          <w:b/>
          <w:bCs/>
          <w:u w:val="single"/>
        </w:rPr>
        <w:t>Proposal 2:</w:t>
      </w:r>
      <w:r>
        <w:rPr>
          <w:b/>
          <w:bCs/>
        </w:rPr>
        <w:t xml:space="preserve"> For mMTC LLS (NR and eMTC), 16-QAM can be used in addition to QPSK to derive the SNR to SE mapping.</w:t>
      </w:r>
    </w:p>
    <w:p w14:paraId="60AD1856" w14:textId="08D9ACD6" w:rsidR="000E0526" w:rsidRDefault="000E0526" w:rsidP="00827270"/>
    <w:p w14:paraId="1B4F8973" w14:textId="70AA64EB" w:rsidR="0036183A" w:rsidRDefault="0036183A" w:rsidP="0036183A">
      <w:pPr>
        <w:pStyle w:val="Heading1"/>
        <w:numPr>
          <w:ilvl w:val="0"/>
          <w:numId w:val="1"/>
        </w:numPr>
        <w:tabs>
          <w:tab w:val="num" w:pos="720"/>
        </w:tabs>
        <w:ind w:left="720" w:hanging="720"/>
        <w:jc w:val="both"/>
      </w:pPr>
      <w:r>
        <w:t>Peak data rate and spectral efficiency</w:t>
      </w:r>
    </w:p>
    <w:p w14:paraId="53EE6D87" w14:textId="0126CFF8" w:rsidR="0036183A" w:rsidRDefault="00853F56" w:rsidP="0036183A">
      <w:r>
        <w:t>One of the remaining issues from RAN1#113 on peak data rate and spectral efficiency was the assumed overhead for determining these parameters.</w:t>
      </w:r>
    </w:p>
    <w:p w14:paraId="333C7EE6" w14:textId="0373CBEA" w:rsidR="00853F56" w:rsidRDefault="00853F56" w:rsidP="0036183A">
      <w:r>
        <w:t>In our view, for uplink, since the PRB allocation for a UE does not use the whole bandwidth (the previous agreement indicates usage of 8 PRBs)</w:t>
      </w:r>
      <w:r w:rsidR="001710E4">
        <w:t xml:space="preserve">, </w:t>
      </w:r>
      <w:r w:rsidR="00EE0C11">
        <w:t xml:space="preserve">we can assume an overhead of </w:t>
      </w:r>
      <w:r w:rsidR="009B69EC">
        <w:t>0</w:t>
      </w:r>
      <w:r w:rsidR="00CB5D5F">
        <w:t>, since mandatory uplink signals (PRACH) can be allocated outside the UE bandwidth.</w:t>
      </w:r>
    </w:p>
    <w:p w14:paraId="0C434F6B" w14:textId="56F4C790" w:rsidR="00EA3FB5" w:rsidRPr="00EF6FAE" w:rsidRDefault="00EA3FB5" w:rsidP="0036183A">
      <w:pPr>
        <w:rPr>
          <w:b/>
          <w:bCs/>
        </w:rPr>
      </w:pPr>
      <w:r w:rsidRPr="00EF6FAE">
        <w:rPr>
          <w:b/>
          <w:bCs/>
          <w:u w:val="single"/>
        </w:rPr>
        <w:t xml:space="preserve">Proposal </w:t>
      </w:r>
      <w:r w:rsidR="00CB5D5F">
        <w:rPr>
          <w:b/>
          <w:bCs/>
          <w:u w:val="single"/>
        </w:rPr>
        <w:t>3</w:t>
      </w:r>
      <w:r w:rsidRPr="00EF6FAE">
        <w:rPr>
          <w:b/>
          <w:bCs/>
          <w:u w:val="single"/>
        </w:rPr>
        <w:t>:</w:t>
      </w:r>
      <w:r>
        <w:rPr>
          <w:b/>
          <w:bCs/>
        </w:rPr>
        <w:t xml:space="preserve"> For uplink peak data rate and spectral efficiency, the assumed overhead is 0.</w:t>
      </w:r>
    </w:p>
    <w:p w14:paraId="3B2F4AD7" w14:textId="4627301F" w:rsidR="009B69EC" w:rsidRPr="0036183A" w:rsidRDefault="009B69EC" w:rsidP="0036183A">
      <w:r>
        <w:t xml:space="preserve">For the </w:t>
      </w:r>
      <w:r w:rsidR="00EA3FB5">
        <w:t>downlink, we propose to reuse the overhead in TS 38.306</w:t>
      </w:r>
      <w:r w:rsidR="00EE16B8">
        <w:t xml:space="preserve"> for FDD FR1 DL, which is 0.14.</w:t>
      </w:r>
    </w:p>
    <w:p w14:paraId="7783DB6E" w14:textId="187B537F" w:rsidR="00EA3FB5" w:rsidRPr="00B17319" w:rsidRDefault="00EA3FB5" w:rsidP="00EA3FB5">
      <w:pPr>
        <w:rPr>
          <w:b/>
          <w:bCs/>
        </w:rPr>
      </w:pPr>
      <w:r w:rsidRPr="00B17319">
        <w:rPr>
          <w:b/>
          <w:bCs/>
          <w:u w:val="single"/>
        </w:rPr>
        <w:t xml:space="preserve">Proposal </w:t>
      </w:r>
      <w:r w:rsidR="00CB5D5F">
        <w:rPr>
          <w:b/>
          <w:bCs/>
          <w:u w:val="single"/>
        </w:rPr>
        <w:t>4</w:t>
      </w:r>
      <w:r w:rsidRPr="00B17319">
        <w:rPr>
          <w:b/>
          <w:bCs/>
          <w:u w:val="single"/>
        </w:rPr>
        <w:t>:</w:t>
      </w:r>
      <w:r>
        <w:rPr>
          <w:b/>
          <w:bCs/>
        </w:rPr>
        <w:t xml:space="preserve"> For downlink peak data rate and spectral efficiency, the assumed overhead is 0</w:t>
      </w:r>
      <w:r w:rsidR="00CB5D5F">
        <w:rPr>
          <w:b/>
          <w:bCs/>
        </w:rPr>
        <w:t>.14</w:t>
      </w:r>
      <w:r>
        <w:rPr>
          <w:b/>
          <w:bCs/>
        </w:rPr>
        <w:t>.</w:t>
      </w:r>
    </w:p>
    <w:p w14:paraId="326A905B" w14:textId="398417E2" w:rsidR="00B83D02" w:rsidRDefault="00B83D02" w:rsidP="009139F5">
      <w:pPr>
        <w:rPr>
          <w:b/>
          <w:bCs/>
        </w:rPr>
      </w:pPr>
    </w:p>
    <w:p w14:paraId="05ACEA1D" w14:textId="77777777" w:rsidR="00BD355D" w:rsidRDefault="00BD355D" w:rsidP="009139F5">
      <w:pPr>
        <w:rPr>
          <w:b/>
          <w:bCs/>
        </w:rPr>
      </w:pPr>
    </w:p>
    <w:p w14:paraId="323BBDD4" w14:textId="77777777" w:rsidR="00BD355D" w:rsidRDefault="00BD355D" w:rsidP="009139F5">
      <w:pPr>
        <w:rPr>
          <w:b/>
          <w:bCs/>
        </w:rPr>
      </w:pPr>
    </w:p>
    <w:p w14:paraId="4B2D2820" w14:textId="77777777" w:rsidR="00BD355D" w:rsidRDefault="00BD355D" w:rsidP="009139F5">
      <w:pPr>
        <w:rPr>
          <w:b/>
          <w:bCs/>
        </w:rPr>
      </w:pPr>
    </w:p>
    <w:p w14:paraId="4FC7A088" w14:textId="77777777" w:rsidR="00BD355D" w:rsidRDefault="00BD355D" w:rsidP="009139F5">
      <w:pPr>
        <w:rPr>
          <w:b/>
          <w:bCs/>
        </w:rPr>
      </w:pPr>
    </w:p>
    <w:p w14:paraId="5F6C98BB" w14:textId="77777777" w:rsidR="00BD355D" w:rsidRPr="009139F5" w:rsidRDefault="00BD355D" w:rsidP="009139F5">
      <w:pPr>
        <w:rPr>
          <w:b/>
          <w:bCs/>
        </w:rPr>
      </w:pPr>
    </w:p>
    <w:p w14:paraId="22DA016B" w14:textId="2E21D550" w:rsidR="00E70722" w:rsidRPr="00E70722" w:rsidRDefault="00874392" w:rsidP="00E70722">
      <w:pPr>
        <w:pStyle w:val="Heading1"/>
        <w:numPr>
          <w:ilvl w:val="0"/>
          <w:numId w:val="1"/>
        </w:numPr>
        <w:tabs>
          <w:tab w:val="num" w:pos="720"/>
        </w:tabs>
        <w:ind w:left="720" w:hanging="720"/>
        <w:jc w:val="both"/>
      </w:pPr>
      <w:r>
        <w:lastRenderedPageBreak/>
        <w:t>Conclusion</w:t>
      </w:r>
    </w:p>
    <w:p w14:paraId="0CC7D43C" w14:textId="1D7847CC" w:rsidR="00A63318" w:rsidRDefault="005819D8" w:rsidP="00B734B4">
      <w:r>
        <w:t>In this contribution, we presented our views on remaining evaluation assumptions. We made the following observations and proposals:</w:t>
      </w:r>
    </w:p>
    <w:p w14:paraId="5C0513CB" w14:textId="77777777" w:rsidR="00B56DE0" w:rsidRPr="0036183A" w:rsidRDefault="00B56DE0" w:rsidP="00B56DE0">
      <w:pPr>
        <w:rPr>
          <w:b/>
          <w:bCs/>
        </w:rPr>
      </w:pPr>
      <w:r w:rsidRPr="0036183A">
        <w:rPr>
          <w:b/>
          <w:bCs/>
          <w:u w:val="single"/>
        </w:rPr>
        <w:t>Proposal</w:t>
      </w:r>
      <w:r>
        <w:rPr>
          <w:b/>
          <w:bCs/>
          <w:u w:val="single"/>
        </w:rPr>
        <w:t xml:space="preserve"> 1</w:t>
      </w:r>
      <w:r w:rsidRPr="0036183A">
        <w:rPr>
          <w:b/>
          <w:bCs/>
          <w:u w:val="single"/>
        </w:rPr>
        <w:t>:</w:t>
      </w:r>
      <w:r>
        <w:rPr>
          <w:b/>
          <w:bCs/>
        </w:rPr>
        <w:t xml:space="preserve"> RAN1 to discuss whether to increase the number of users per cell to increase the achievable spectral efficiency.</w:t>
      </w:r>
    </w:p>
    <w:p w14:paraId="6E4FD621" w14:textId="3D23C17C" w:rsidR="00B56DE0" w:rsidRPr="006F3192" w:rsidRDefault="00B56DE0" w:rsidP="00B734B4">
      <w:pPr>
        <w:rPr>
          <w:b/>
          <w:bCs/>
        </w:rPr>
      </w:pPr>
      <w:r w:rsidRPr="00B17319">
        <w:rPr>
          <w:b/>
          <w:bCs/>
          <w:u w:val="single"/>
        </w:rPr>
        <w:t>Proposal 2:</w:t>
      </w:r>
      <w:r>
        <w:rPr>
          <w:b/>
          <w:bCs/>
        </w:rPr>
        <w:t xml:space="preserve"> For mMTC LLS (NR and eMTC), 16-QAM can be used in addition to QPSK to derive the SNR to SE mapping.</w:t>
      </w:r>
    </w:p>
    <w:p w14:paraId="207DFB76" w14:textId="77777777" w:rsidR="00CB5D5F" w:rsidRPr="00B17319" w:rsidRDefault="00CB5D5F" w:rsidP="00CB5D5F">
      <w:pPr>
        <w:rPr>
          <w:b/>
          <w:bCs/>
        </w:rPr>
      </w:pPr>
      <w:r w:rsidRPr="00B17319">
        <w:rPr>
          <w:b/>
          <w:bCs/>
          <w:u w:val="single"/>
        </w:rPr>
        <w:t xml:space="preserve">Proposal </w:t>
      </w:r>
      <w:r>
        <w:rPr>
          <w:b/>
          <w:bCs/>
          <w:u w:val="single"/>
        </w:rPr>
        <w:t>3</w:t>
      </w:r>
      <w:r w:rsidRPr="00B17319">
        <w:rPr>
          <w:b/>
          <w:bCs/>
          <w:u w:val="single"/>
        </w:rPr>
        <w:t>:</w:t>
      </w:r>
      <w:r>
        <w:rPr>
          <w:b/>
          <w:bCs/>
        </w:rPr>
        <w:t xml:space="preserve"> For uplink peak data rate and spectral efficiency, the assumed overhead is 0.</w:t>
      </w:r>
    </w:p>
    <w:p w14:paraId="41C63031" w14:textId="77777777" w:rsidR="00CB5D5F" w:rsidRPr="00B17319" w:rsidRDefault="00CB5D5F" w:rsidP="00CB5D5F">
      <w:pPr>
        <w:rPr>
          <w:b/>
          <w:bCs/>
        </w:rPr>
      </w:pPr>
      <w:r w:rsidRPr="00B17319">
        <w:rPr>
          <w:b/>
          <w:bCs/>
          <w:u w:val="single"/>
        </w:rPr>
        <w:t xml:space="preserve">Proposal </w:t>
      </w:r>
      <w:r>
        <w:rPr>
          <w:b/>
          <w:bCs/>
          <w:u w:val="single"/>
        </w:rPr>
        <w:t>4</w:t>
      </w:r>
      <w:r w:rsidRPr="00B17319">
        <w:rPr>
          <w:b/>
          <w:bCs/>
          <w:u w:val="single"/>
        </w:rPr>
        <w:t>:</w:t>
      </w:r>
      <w:r>
        <w:rPr>
          <w:b/>
          <w:bCs/>
        </w:rPr>
        <w:t xml:space="preserve"> For downlink peak data rate and spectral efficiency, the assumed overhead is 0.14.</w:t>
      </w:r>
    </w:p>
    <w:p w14:paraId="26CBD25E" w14:textId="1BE31E85" w:rsidR="0044411D" w:rsidRDefault="0044411D" w:rsidP="0044411D">
      <w:pPr>
        <w:pStyle w:val="Heading1"/>
        <w:jc w:val="both"/>
      </w:pPr>
      <w:r>
        <w:t xml:space="preserve">References </w:t>
      </w:r>
    </w:p>
    <w:p w14:paraId="05339445" w14:textId="551C69DA" w:rsidR="0044411D" w:rsidRDefault="0044411D" w:rsidP="00B734B4">
      <w:r>
        <w:t xml:space="preserve">[1] </w:t>
      </w:r>
      <w:r w:rsidR="00625387" w:rsidRPr="00625387">
        <w:t>R1-2307956</w:t>
      </w:r>
      <w:r w:rsidR="00367452">
        <w:t xml:space="preserve"> </w:t>
      </w:r>
      <w:r w:rsidR="0036183A">
        <w:t>Self-evaluation results for NR NTN, RAN1#114, Qualcomm Incorporated</w:t>
      </w:r>
    </w:p>
    <w:sectPr w:rsidR="0044411D" w:rsidSect="00717CC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A4048" w14:textId="77777777" w:rsidR="005C4980" w:rsidRDefault="005C4980">
      <w:pPr>
        <w:spacing w:after="0"/>
      </w:pPr>
      <w:r>
        <w:separator/>
      </w:r>
    </w:p>
  </w:endnote>
  <w:endnote w:type="continuationSeparator" w:id="0">
    <w:p w14:paraId="5B007A57" w14:textId="77777777" w:rsidR="005C4980" w:rsidRDefault="005C4980">
      <w:pPr>
        <w:spacing w:after="0"/>
      </w:pPr>
      <w:r>
        <w:continuationSeparator/>
      </w:r>
    </w:p>
  </w:endnote>
  <w:endnote w:type="continuationNotice" w:id="1">
    <w:p w14:paraId="21A8A58F" w14:textId="77777777" w:rsidR="005C4980" w:rsidRDefault="005C4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A4282" w14:textId="77777777" w:rsidR="005C4980" w:rsidRDefault="005C4980">
      <w:pPr>
        <w:spacing w:after="0"/>
      </w:pPr>
      <w:r>
        <w:separator/>
      </w:r>
    </w:p>
  </w:footnote>
  <w:footnote w:type="continuationSeparator" w:id="0">
    <w:p w14:paraId="5F71715E" w14:textId="77777777" w:rsidR="005C4980" w:rsidRDefault="005C4980">
      <w:pPr>
        <w:spacing w:after="0"/>
      </w:pPr>
      <w:r>
        <w:continuationSeparator/>
      </w:r>
    </w:p>
  </w:footnote>
  <w:footnote w:type="continuationNotice" w:id="1">
    <w:p w14:paraId="72B7EA4C" w14:textId="77777777" w:rsidR="005C4980" w:rsidRDefault="005C4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D3342D"/>
    <w:multiLevelType w:val="hybridMultilevel"/>
    <w:tmpl w:val="D9A6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8631285">
    <w:abstractNumId w:val="1"/>
  </w:num>
  <w:num w:numId="2" w16cid:durableId="1928612146">
    <w:abstractNumId w:val="19"/>
  </w:num>
  <w:num w:numId="3" w16cid:durableId="778186600">
    <w:abstractNumId w:val="4"/>
  </w:num>
  <w:num w:numId="4" w16cid:durableId="1709720551">
    <w:abstractNumId w:val="9"/>
  </w:num>
  <w:num w:numId="5" w16cid:durableId="792208888">
    <w:abstractNumId w:val="3"/>
  </w:num>
  <w:num w:numId="6" w16cid:durableId="2072803237">
    <w:abstractNumId w:val="12"/>
  </w:num>
  <w:num w:numId="7" w16cid:durableId="676270520">
    <w:abstractNumId w:val="15"/>
  </w:num>
  <w:num w:numId="8" w16cid:durableId="872376605">
    <w:abstractNumId w:val="17"/>
  </w:num>
  <w:num w:numId="9" w16cid:durableId="571550340">
    <w:abstractNumId w:val="10"/>
  </w:num>
  <w:num w:numId="10" w16cid:durableId="1111630429">
    <w:abstractNumId w:val="2"/>
  </w:num>
  <w:num w:numId="11" w16cid:durableId="175510201">
    <w:abstractNumId w:val="22"/>
  </w:num>
  <w:num w:numId="12" w16cid:durableId="939531344">
    <w:abstractNumId w:val="11"/>
  </w:num>
  <w:num w:numId="13" w16cid:durableId="1109009149">
    <w:abstractNumId w:val="20"/>
  </w:num>
  <w:num w:numId="14" w16cid:durableId="642318376">
    <w:abstractNumId w:val="7"/>
  </w:num>
  <w:num w:numId="15" w16cid:durableId="1625388496">
    <w:abstractNumId w:val="0"/>
  </w:num>
  <w:num w:numId="16" w16cid:durableId="604576370">
    <w:abstractNumId w:val="8"/>
  </w:num>
  <w:num w:numId="17" w16cid:durableId="1940942013">
    <w:abstractNumId w:val="13"/>
  </w:num>
  <w:num w:numId="18" w16cid:durableId="1872376849">
    <w:abstractNumId w:val="5"/>
  </w:num>
  <w:num w:numId="19" w16cid:durableId="1323267478">
    <w:abstractNumId w:val="21"/>
  </w:num>
  <w:num w:numId="20" w16cid:durableId="668480301">
    <w:abstractNumId w:val="18"/>
  </w:num>
  <w:num w:numId="21" w16cid:durableId="540366474">
    <w:abstractNumId w:val="6"/>
  </w:num>
  <w:num w:numId="22" w16cid:durableId="1643997256">
    <w:abstractNumId w:val="14"/>
  </w:num>
  <w:num w:numId="23" w16cid:durableId="78226386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2716"/>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398B"/>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2F91"/>
    <w:rsid w:val="00076505"/>
    <w:rsid w:val="00077A25"/>
    <w:rsid w:val="00081CDD"/>
    <w:rsid w:val="0008215D"/>
    <w:rsid w:val="0008230A"/>
    <w:rsid w:val="000829F5"/>
    <w:rsid w:val="00082A76"/>
    <w:rsid w:val="00085CDB"/>
    <w:rsid w:val="00086EC3"/>
    <w:rsid w:val="00087564"/>
    <w:rsid w:val="00087DAE"/>
    <w:rsid w:val="000915B9"/>
    <w:rsid w:val="00095D03"/>
    <w:rsid w:val="00096010"/>
    <w:rsid w:val="00096267"/>
    <w:rsid w:val="00097E6B"/>
    <w:rsid w:val="000A10B3"/>
    <w:rsid w:val="000A21A9"/>
    <w:rsid w:val="000A2CA0"/>
    <w:rsid w:val="000A35E3"/>
    <w:rsid w:val="000A659F"/>
    <w:rsid w:val="000A716F"/>
    <w:rsid w:val="000B052A"/>
    <w:rsid w:val="000B118C"/>
    <w:rsid w:val="000B1990"/>
    <w:rsid w:val="000B1B70"/>
    <w:rsid w:val="000B213C"/>
    <w:rsid w:val="000B240E"/>
    <w:rsid w:val="000B3E7A"/>
    <w:rsid w:val="000B5C1B"/>
    <w:rsid w:val="000B5F64"/>
    <w:rsid w:val="000C30A8"/>
    <w:rsid w:val="000C3880"/>
    <w:rsid w:val="000C41AA"/>
    <w:rsid w:val="000C4D41"/>
    <w:rsid w:val="000C5D30"/>
    <w:rsid w:val="000C6067"/>
    <w:rsid w:val="000C6FD1"/>
    <w:rsid w:val="000C7D28"/>
    <w:rsid w:val="000D04DB"/>
    <w:rsid w:val="000D1C42"/>
    <w:rsid w:val="000D3095"/>
    <w:rsid w:val="000D334F"/>
    <w:rsid w:val="000D4151"/>
    <w:rsid w:val="000D5647"/>
    <w:rsid w:val="000D756E"/>
    <w:rsid w:val="000D78E3"/>
    <w:rsid w:val="000E0526"/>
    <w:rsid w:val="000E1342"/>
    <w:rsid w:val="000E176A"/>
    <w:rsid w:val="000E330D"/>
    <w:rsid w:val="000E362B"/>
    <w:rsid w:val="000E370F"/>
    <w:rsid w:val="000E3D75"/>
    <w:rsid w:val="000E3FCD"/>
    <w:rsid w:val="000E6042"/>
    <w:rsid w:val="000F17C1"/>
    <w:rsid w:val="000F243A"/>
    <w:rsid w:val="000F2A2F"/>
    <w:rsid w:val="000F50DD"/>
    <w:rsid w:val="000F70C7"/>
    <w:rsid w:val="001000FD"/>
    <w:rsid w:val="0010027A"/>
    <w:rsid w:val="00100D50"/>
    <w:rsid w:val="0010118A"/>
    <w:rsid w:val="00101C4B"/>
    <w:rsid w:val="0010253A"/>
    <w:rsid w:val="001030EF"/>
    <w:rsid w:val="001044B8"/>
    <w:rsid w:val="0010734B"/>
    <w:rsid w:val="00111629"/>
    <w:rsid w:val="001119A6"/>
    <w:rsid w:val="00114286"/>
    <w:rsid w:val="001146F8"/>
    <w:rsid w:val="00114D8E"/>
    <w:rsid w:val="001162F1"/>
    <w:rsid w:val="00116F71"/>
    <w:rsid w:val="001204F1"/>
    <w:rsid w:val="00120A81"/>
    <w:rsid w:val="00122D19"/>
    <w:rsid w:val="001232EC"/>
    <w:rsid w:val="00124E25"/>
    <w:rsid w:val="00124E5D"/>
    <w:rsid w:val="00125229"/>
    <w:rsid w:val="00125558"/>
    <w:rsid w:val="00125DAC"/>
    <w:rsid w:val="001300A9"/>
    <w:rsid w:val="0013275F"/>
    <w:rsid w:val="00132BDB"/>
    <w:rsid w:val="00134BEE"/>
    <w:rsid w:val="00135D79"/>
    <w:rsid w:val="0013602A"/>
    <w:rsid w:val="001369AD"/>
    <w:rsid w:val="00137DBA"/>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0E4"/>
    <w:rsid w:val="001711B6"/>
    <w:rsid w:val="001713E9"/>
    <w:rsid w:val="00173143"/>
    <w:rsid w:val="00173346"/>
    <w:rsid w:val="00173833"/>
    <w:rsid w:val="001744E0"/>
    <w:rsid w:val="00176A4C"/>
    <w:rsid w:val="001801C3"/>
    <w:rsid w:val="001802C6"/>
    <w:rsid w:val="001839D7"/>
    <w:rsid w:val="001839E2"/>
    <w:rsid w:val="00184BF6"/>
    <w:rsid w:val="00184E59"/>
    <w:rsid w:val="001853AB"/>
    <w:rsid w:val="0018629F"/>
    <w:rsid w:val="001869C5"/>
    <w:rsid w:val="001905A1"/>
    <w:rsid w:val="001905F2"/>
    <w:rsid w:val="00190E24"/>
    <w:rsid w:val="00192935"/>
    <w:rsid w:val="00193D8B"/>
    <w:rsid w:val="00194F81"/>
    <w:rsid w:val="001952B4"/>
    <w:rsid w:val="001978DA"/>
    <w:rsid w:val="001A0106"/>
    <w:rsid w:val="001A010B"/>
    <w:rsid w:val="001A1128"/>
    <w:rsid w:val="001A1B4E"/>
    <w:rsid w:val="001A1E09"/>
    <w:rsid w:val="001A2BF9"/>
    <w:rsid w:val="001A3428"/>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301F"/>
    <w:rsid w:val="001C51D2"/>
    <w:rsid w:val="001C6F21"/>
    <w:rsid w:val="001D0240"/>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D3"/>
    <w:rsid w:val="00207DD8"/>
    <w:rsid w:val="0021012D"/>
    <w:rsid w:val="00210BBD"/>
    <w:rsid w:val="0021101B"/>
    <w:rsid w:val="00212CB8"/>
    <w:rsid w:val="002152D5"/>
    <w:rsid w:val="002162F8"/>
    <w:rsid w:val="00216F87"/>
    <w:rsid w:val="00217C09"/>
    <w:rsid w:val="00220AAF"/>
    <w:rsid w:val="00224067"/>
    <w:rsid w:val="0022619C"/>
    <w:rsid w:val="002261C8"/>
    <w:rsid w:val="00226DFF"/>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0C60"/>
    <w:rsid w:val="00252106"/>
    <w:rsid w:val="0025313B"/>
    <w:rsid w:val="00253577"/>
    <w:rsid w:val="00254B59"/>
    <w:rsid w:val="00254F67"/>
    <w:rsid w:val="00255F0A"/>
    <w:rsid w:val="00256BFC"/>
    <w:rsid w:val="00260902"/>
    <w:rsid w:val="00262295"/>
    <w:rsid w:val="0026264B"/>
    <w:rsid w:val="00262FFA"/>
    <w:rsid w:val="0026381F"/>
    <w:rsid w:val="00264BDF"/>
    <w:rsid w:val="002651BA"/>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22E0"/>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3316"/>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F10FD"/>
    <w:rsid w:val="002F1A2E"/>
    <w:rsid w:val="002F24B7"/>
    <w:rsid w:val="002F43B2"/>
    <w:rsid w:val="002F7B54"/>
    <w:rsid w:val="00300CD1"/>
    <w:rsid w:val="00310C18"/>
    <w:rsid w:val="00313BFB"/>
    <w:rsid w:val="00314925"/>
    <w:rsid w:val="00314B41"/>
    <w:rsid w:val="00316C77"/>
    <w:rsid w:val="003175FA"/>
    <w:rsid w:val="00320A33"/>
    <w:rsid w:val="00320E19"/>
    <w:rsid w:val="00320EF9"/>
    <w:rsid w:val="003214D1"/>
    <w:rsid w:val="003216E0"/>
    <w:rsid w:val="00321A89"/>
    <w:rsid w:val="003225F3"/>
    <w:rsid w:val="00323D61"/>
    <w:rsid w:val="00325AAE"/>
    <w:rsid w:val="003267A3"/>
    <w:rsid w:val="003268C2"/>
    <w:rsid w:val="00331E5B"/>
    <w:rsid w:val="003323DE"/>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67452"/>
    <w:rsid w:val="00370406"/>
    <w:rsid w:val="00370D4F"/>
    <w:rsid w:val="00374FC9"/>
    <w:rsid w:val="0037613E"/>
    <w:rsid w:val="00380B18"/>
    <w:rsid w:val="00381224"/>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A3D"/>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1EE"/>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5D7"/>
    <w:rsid w:val="00470B8F"/>
    <w:rsid w:val="00476823"/>
    <w:rsid w:val="00476C2A"/>
    <w:rsid w:val="00477208"/>
    <w:rsid w:val="00480C10"/>
    <w:rsid w:val="004815C7"/>
    <w:rsid w:val="00482BA8"/>
    <w:rsid w:val="00483468"/>
    <w:rsid w:val="00483DE7"/>
    <w:rsid w:val="004849EF"/>
    <w:rsid w:val="0048606B"/>
    <w:rsid w:val="00486581"/>
    <w:rsid w:val="00486BCA"/>
    <w:rsid w:val="00486F78"/>
    <w:rsid w:val="00487449"/>
    <w:rsid w:val="0049177D"/>
    <w:rsid w:val="00491971"/>
    <w:rsid w:val="00491CD0"/>
    <w:rsid w:val="0049213F"/>
    <w:rsid w:val="0049278F"/>
    <w:rsid w:val="0049414B"/>
    <w:rsid w:val="00494BD5"/>
    <w:rsid w:val="0049613A"/>
    <w:rsid w:val="004963A1"/>
    <w:rsid w:val="00496D8F"/>
    <w:rsid w:val="00497C69"/>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B6A8E"/>
    <w:rsid w:val="004B74BF"/>
    <w:rsid w:val="004B76F0"/>
    <w:rsid w:val="004C0ECA"/>
    <w:rsid w:val="004C3364"/>
    <w:rsid w:val="004C4776"/>
    <w:rsid w:val="004C4902"/>
    <w:rsid w:val="004C58B1"/>
    <w:rsid w:val="004C5F77"/>
    <w:rsid w:val="004C7CDC"/>
    <w:rsid w:val="004C7EDB"/>
    <w:rsid w:val="004D08E1"/>
    <w:rsid w:val="004D102A"/>
    <w:rsid w:val="004D2913"/>
    <w:rsid w:val="004D3F76"/>
    <w:rsid w:val="004D442C"/>
    <w:rsid w:val="004D5290"/>
    <w:rsid w:val="004D52D9"/>
    <w:rsid w:val="004D5383"/>
    <w:rsid w:val="004D58A2"/>
    <w:rsid w:val="004D634E"/>
    <w:rsid w:val="004D675A"/>
    <w:rsid w:val="004D6CD6"/>
    <w:rsid w:val="004D70D1"/>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1652"/>
    <w:rsid w:val="00523692"/>
    <w:rsid w:val="00524FF3"/>
    <w:rsid w:val="0052544B"/>
    <w:rsid w:val="0052585C"/>
    <w:rsid w:val="00527F03"/>
    <w:rsid w:val="00527F8A"/>
    <w:rsid w:val="0053141A"/>
    <w:rsid w:val="0053163A"/>
    <w:rsid w:val="005328B5"/>
    <w:rsid w:val="00534BF8"/>
    <w:rsid w:val="00535BED"/>
    <w:rsid w:val="00537332"/>
    <w:rsid w:val="00540E6C"/>
    <w:rsid w:val="005419EC"/>
    <w:rsid w:val="00541ED7"/>
    <w:rsid w:val="00543758"/>
    <w:rsid w:val="005446A1"/>
    <w:rsid w:val="00546633"/>
    <w:rsid w:val="005466F8"/>
    <w:rsid w:val="0054719B"/>
    <w:rsid w:val="00547460"/>
    <w:rsid w:val="005521C8"/>
    <w:rsid w:val="00552A1E"/>
    <w:rsid w:val="00555D8D"/>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3503"/>
    <w:rsid w:val="0057572F"/>
    <w:rsid w:val="00576110"/>
    <w:rsid w:val="00576F7A"/>
    <w:rsid w:val="00580B52"/>
    <w:rsid w:val="005819D8"/>
    <w:rsid w:val="00582CAB"/>
    <w:rsid w:val="0058368F"/>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15E1"/>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980"/>
    <w:rsid w:val="005C4C86"/>
    <w:rsid w:val="005C7057"/>
    <w:rsid w:val="005D201C"/>
    <w:rsid w:val="005D3FCC"/>
    <w:rsid w:val="005D5A87"/>
    <w:rsid w:val="005D681F"/>
    <w:rsid w:val="005D6B6E"/>
    <w:rsid w:val="005D776C"/>
    <w:rsid w:val="005D7B4E"/>
    <w:rsid w:val="005E2009"/>
    <w:rsid w:val="005E3B3C"/>
    <w:rsid w:val="005E55F7"/>
    <w:rsid w:val="005E6325"/>
    <w:rsid w:val="005F1605"/>
    <w:rsid w:val="005F3121"/>
    <w:rsid w:val="005F3A25"/>
    <w:rsid w:val="005F5D6B"/>
    <w:rsid w:val="005F604D"/>
    <w:rsid w:val="005F641C"/>
    <w:rsid w:val="00600B37"/>
    <w:rsid w:val="00601F79"/>
    <w:rsid w:val="0060301B"/>
    <w:rsid w:val="006039A2"/>
    <w:rsid w:val="00604751"/>
    <w:rsid w:val="00606978"/>
    <w:rsid w:val="00610DC9"/>
    <w:rsid w:val="00612769"/>
    <w:rsid w:val="00612BA3"/>
    <w:rsid w:val="006130D9"/>
    <w:rsid w:val="00614C79"/>
    <w:rsid w:val="00614FB5"/>
    <w:rsid w:val="00615C45"/>
    <w:rsid w:val="00616B50"/>
    <w:rsid w:val="006172A4"/>
    <w:rsid w:val="006175A2"/>
    <w:rsid w:val="00620296"/>
    <w:rsid w:val="00621280"/>
    <w:rsid w:val="00621B09"/>
    <w:rsid w:val="00623263"/>
    <w:rsid w:val="00625387"/>
    <w:rsid w:val="006300EC"/>
    <w:rsid w:val="00632162"/>
    <w:rsid w:val="00633EE1"/>
    <w:rsid w:val="00634A07"/>
    <w:rsid w:val="0063536F"/>
    <w:rsid w:val="00635D0F"/>
    <w:rsid w:val="006362AA"/>
    <w:rsid w:val="00636D1E"/>
    <w:rsid w:val="00640363"/>
    <w:rsid w:val="0064058E"/>
    <w:rsid w:val="00641CBA"/>
    <w:rsid w:val="0064384F"/>
    <w:rsid w:val="00644B01"/>
    <w:rsid w:val="00644C95"/>
    <w:rsid w:val="00645661"/>
    <w:rsid w:val="00646794"/>
    <w:rsid w:val="00647689"/>
    <w:rsid w:val="006479B6"/>
    <w:rsid w:val="00647D8A"/>
    <w:rsid w:val="00650C54"/>
    <w:rsid w:val="00651767"/>
    <w:rsid w:val="00651E33"/>
    <w:rsid w:val="00652FF7"/>
    <w:rsid w:val="006530FE"/>
    <w:rsid w:val="00654CD5"/>
    <w:rsid w:val="0066154C"/>
    <w:rsid w:val="006617E3"/>
    <w:rsid w:val="00662A01"/>
    <w:rsid w:val="00662BF0"/>
    <w:rsid w:val="00663377"/>
    <w:rsid w:val="006634DF"/>
    <w:rsid w:val="006667EA"/>
    <w:rsid w:val="0066716A"/>
    <w:rsid w:val="00667988"/>
    <w:rsid w:val="00667A31"/>
    <w:rsid w:val="00671081"/>
    <w:rsid w:val="006723D9"/>
    <w:rsid w:val="00672CE3"/>
    <w:rsid w:val="006739DF"/>
    <w:rsid w:val="00673FC5"/>
    <w:rsid w:val="0067482B"/>
    <w:rsid w:val="00674A20"/>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7149"/>
    <w:rsid w:val="006A04FA"/>
    <w:rsid w:val="006A135D"/>
    <w:rsid w:val="006A5595"/>
    <w:rsid w:val="006A6D7C"/>
    <w:rsid w:val="006A7799"/>
    <w:rsid w:val="006B2436"/>
    <w:rsid w:val="006B30A6"/>
    <w:rsid w:val="006B3A59"/>
    <w:rsid w:val="006C1CA5"/>
    <w:rsid w:val="006C1D96"/>
    <w:rsid w:val="006C335B"/>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3192"/>
    <w:rsid w:val="006F407F"/>
    <w:rsid w:val="00700F48"/>
    <w:rsid w:val="00702EB8"/>
    <w:rsid w:val="00703B1D"/>
    <w:rsid w:val="00703FB8"/>
    <w:rsid w:val="00704292"/>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19E8"/>
    <w:rsid w:val="00764301"/>
    <w:rsid w:val="00764B13"/>
    <w:rsid w:val="00764E5A"/>
    <w:rsid w:val="00766AE7"/>
    <w:rsid w:val="00767D7C"/>
    <w:rsid w:val="00770E8B"/>
    <w:rsid w:val="00771D33"/>
    <w:rsid w:val="00773052"/>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527"/>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5D7F"/>
    <w:rsid w:val="007F6421"/>
    <w:rsid w:val="007F6F4C"/>
    <w:rsid w:val="007F72E4"/>
    <w:rsid w:val="00801350"/>
    <w:rsid w:val="0080168D"/>
    <w:rsid w:val="008019C7"/>
    <w:rsid w:val="00801FF0"/>
    <w:rsid w:val="00802BEF"/>
    <w:rsid w:val="008055C7"/>
    <w:rsid w:val="008059AF"/>
    <w:rsid w:val="0080655B"/>
    <w:rsid w:val="00806BDD"/>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3A1"/>
    <w:rsid w:val="008404B2"/>
    <w:rsid w:val="008405AD"/>
    <w:rsid w:val="00844936"/>
    <w:rsid w:val="008451D2"/>
    <w:rsid w:val="0084552F"/>
    <w:rsid w:val="008458B4"/>
    <w:rsid w:val="00847784"/>
    <w:rsid w:val="0085313C"/>
    <w:rsid w:val="00853F56"/>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0D"/>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067E"/>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25F"/>
    <w:rsid w:val="00902FEA"/>
    <w:rsid w:val="009033E7"/>
    <w:rsid w:val="00904028"/>
    <w:rsid w:val="00904C10"/>
    <w:rsid w:val="00904C91"/>
    <w:rsid w:val="00905BDA"/>
    <w:rsid w:val="009060A5"/>
    <w:rsid w:val="00907C5E"/>
    <w:rsid w:val="009105B6"/>
    <w:rsid w:val="00910683"/>
    <w:rsid w:val="009109B9"/>
    <w:rsid w:val="00911E51"/>
    <w:rsid w:val="009128EE"/>
    <w:rsid w:val="00912CDC"/>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13E4"/>
    <w:rsid w:val="00942023"/>
    <w:rsid w:val="009423AD"/>
    <w:rsid w:val="009448F4"/>
    <w:rsid w:val="0094556C"/>
    <w:rsid w:val="009467F5"/>
    <w:rsid w:val="00950820"/>
    <w:rsid w:val="00952795"/>
    <w:rsid w:val="00952B40"/>
    <w:rsid w:val="00953207"/>
    <w:rsid w:val="00956244"/>
    <w:rsid w:val="009616FE"/>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B69EC"/>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172B1"/>
    <w:rsid w:val="00A21735"/>
    <w:rsid w:val="00A230D6"/>
    <w:rsid w:val="00A238B6"/>
    <w:rsid w:val="00A2404E"/>
    <w:rsid w:val="00A251B8"/>
    <w:rsid w:val="00A2785A"/>
    <w:rsid w:val="00A27ADA"/>
    <w:rsid w:val="00A30C68"/>
    <w:rsid w:val="00A31D69"/>
    <w:rsid w:val="00A33AC8"/>
    <w:rsid w:val="00A33C97"/>
    <w:rsid w:val="00A35110"/>
    <w:rsid w:val="00A35579"/>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30F"/>
    <w:rsid w:val="00A624A4"/>
    <w:rsid w:val="00A63318"/>
    <w:rsid w:val="00A64E9E"/>
    <w:rsid w:val="00A65F7B"/>
    <w:rsid w:val="00A70500"/>
    <w:rsid w:val="00A734DC"/>
    <w:rsid w:val="00A7394B"/>
    <w:rsid w:val="00A74EF2"/>
    <w:rsid w:val="00A76806"/>
    <w:rsid w:val="00A83075"/>
    <w:rsid w:val="00A84064"/>
    <w:rsid w:val="00A8465B"/>
    <w:rsid w:val="00A8469E"/>
    <w:rsid w:val="00A85AB2"/>
    <w:rsid w:val="00A85B89"/>
    <w:rsid w:val="00A86E0F"/>
    <w:rsid w:val="00A91281"/>
    <w:rsid w:val="00A91F1E"/>
    <w:rsid w:val="00A93453"/>
    <w:rsid w:val="00A93AC1"/>
    <w:rsid w:val="00A93FCA"/>
    <w:rsid w:val="00A94F1E"/>
    <w:rsid w:val="00A96B53"/>
    <w:rsid w:val="00A96F38"/>
    <w:rsid w:val="00AA0C73"/>
    <w:rsid w:val="00AA12BE"/>
    <w:rsid w:val="00AA231C"/>
    <w:rsid w:val="00AA2382"/>
    <w:rsid w:val="00AA43FE"/>
    <w:rsid w:val="00AA5AD6"/>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3214"/>
    <w:rsid w:val="00AC595F"/>
    <w:rsid w:val="00AC6916"/>
    <w:rsid w:val="00AC6A12"/>
    <w:rsid w:val="00AD0869"/>
    <w:rsid w:val="00AD2460"/>
    <w:rsid w:val="00AD444A"/>
    <w:rsid w:val="00AD44F7"/>
    <w:rsid w:val="00AD45F0"/>
    <w:rsid w:val="00AD5DA3"/>
    <w:rsid w:val="00AD6DA7"/>
    <w:rsid w:val="00AD76C2"/>
    <w:rsid w:val="00AD7B21"/>
    <w:rsid w:val="00AD7E74"/>
    <w:rsid w:val="00AD7F52"/>
    <w:rsid w:val="00AE007A"/>
    <w:rsid w:val="00AE0493"/>
    <w:rsid w:val="00AE187B"/>
    <w:rsid w:val="00AE1E80"/>
    <w:rsid w:val="00AE21A2"/>
    <w:rsid w:val="00AE2972"/>
    <w:rsid w:val="00AE2B6A"/>
    <w:rsid w:val="00AE40F8"/>
    <w:rsid w:val="00AE481C"/>
    <w:rsid w:val="00AE5524"/>
    <w:rsid w:val="00AE6490"/>
    <w:rsid w:val="00AE6D26"/>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4100"/>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89D"/>
    <w:rsid w:val="00B40AF8"/>
    <w:rsid w:val="00B40DA9"/>
    <w:rsid w:val="00B411EC"/>
    <w:rsid w:val="00B41634"/>
    <w:rsid w:val="00B41C5A"/>
    <w:rsid w:val="00B428A6"/>
    <w:rsid w:val="00B428F9"/>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6DE0"/>
    <w:rsid w:val="00B57662"/>
    <w:rsid w:val="00B57F95"/>
    <w:rsid w:val="00B6035E"/>
    <w:rsid w:val="00B60449"/>
    <w:rsid w:val="00B625F0"/>
    <w:rsid w:val="00B63F4D"/>
    <w:rsid w:val="00B6484B"/>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CDB"/>
    <w:rsid w:val="00B82E59"/>
    <w:rsid w:val="00B83AA0"/>
    <w:rsid w:val="00B83D02"/>
    <w:rsid w:val="00B84A23"/>
    <w:rsid w:val="00B84F3B"/>
    <w:rsid w:val="00B85EB0"/>
    <w:rsid w:val="00B86860"/>
    <w:rsid w:val="00B86FA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B6811"/>
    <w:rsid w:val="00BC16F2"/>
    <w:rsid w:val="00BC1C19"/>
    <w:rsid w:val="00BC2C29"/>
    <w:rsid w:val="00BC3A60"/>
    <w:rsid w:val="00BC3C47"/>
    <w:rsid w:val="00BC511C"/>
    <w:rsid w:val="00BC54A0"/>
    <w:rsid w:val="00BC64D7"/>
    <w:rsid w:val="00BC6700"/>
    <w:rsid w:val="00BC7263"/>
    <w:rsid w:val="00BC755D"/>
    <w:rsid w:val="00BD02EE"/>
    <w:rsid w:val="00BD0BB4"/>
    <w:rsid w:val="00BD0F8A"/>
    <w:rsid w:val="00BD1002"/>
    <w:rsid w:val="00BD1818"/>
    <w:rsid w:val="00BD355D"/>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0649"/>
    <w:rsid w:val="00C11D93"/>
    <w:rsid w:val="00C13637"/>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016"/>
    <w:rsid w:val="00C46DE2"/>
    <w:rsid w:val="00C471A1"/>
    <w:rsid w:val="00C502E8"/>
    <w:rsid w:val="00C51008"/>
    <w:rsid w:val="00C510F3"/>
    <w:rsid w:val="00C51726"/>
    <w:rsid w:val="00C51EDA"/>
    <w:rsid w:val="00C52440"/>
    <w:rsid w:val="00C55990"/>
    <w:rsid w:val="00C61DB9"/>
    <w:rsid w:val="00C62BD6"/>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14CB"/>
    <w:rsid w:val="00C921B6"/>
    <w:rsid w:val="00C92427"/>
    <w:rsid w:val="00C93619"/>
    <w:rsid w:val="00C940ED"/>
    <w:rsid w:val="00C94B2D"/>
    <w:rsid w:val="00C94E0B"/>
    <w:rsid w:val="00CA1038"/>
    <w:rsid w:val="00CA1217"/>
    <w:rsid w:val="00CA3834"/>
    <w:rsid w:val="00CA5BE5"/>
    <w:rsid w:val="00CA63F4"/>
    <w:rsid w:val="00CA645B"/>
    <w:rsid w:val="00CA7D1E"/>
    <w:rsid w:val="00CA7D67"/>
    <w:rsid w:val="00CB0E5A"/>
    <w:rsid w:val="00CB2165"/>
    <w:rsid w:val="00CB2854"/>
    <w:rsid w:val="00CB36DB"/>
    <w:rsid w:val="00CB37F3"/>
    <w:rsid w:val="00CB457E"/>
    <w:rsid w:val="00CB5D5F"/>
    <w:rsid w:val="00CB5DBA"/>
    <w:rsid w:val="00CB5E5E"/>
    <w:rsid w:val="00CB704C"/>
    <w:rsid w:val="00CB721A"/>
    <w:rsid w:val="00CC10E9"/>
    <w:rsid w:val="00CC1D31"/>
    <w:rsid w:val="00CC3B79"/>
    <w:rsid w:val="00CC617F"/>
    <w:rsid w:val="00CC7E93"/>
    <w:rsid w:val="00CD008F"/>
    <w:rsid w:val="00CD0254"/>
    <w:rsid w:val="00CD0500"/>
    <w:rsid w:val="00CD19AF"/>
    <w:rsid w:val="00CD471E"/>
    <w:rsid w:val="00CD5147"/>
    <w:rsid w:val="00CD6583"/>
    <w:rsid w:val="00CE04F7"/>
    <w:rsid w:val="00CE09DC"/>
    <w:rsid w:val="00CE0BAA"/>
    <w:rsid w:val="00CE47D9"/>
    <w:rsid w:val="00CE4F21"/>
    <w:rsid w:val="00CE5EA5"/>
    <w:rsid w:val="00CE6983"/>
    <w:rsid w:val="00CF159E"/>
    <w:rsid w:val="00CF292C"/>
    <w:rsid w:val="00CF4339"/>
    <w:rsid w:val="00CF4911"/>
    <w:rsid w:val="00CF7577"/>
    <w:rsid w:val="00CF7805"/>
    <w:rsid w:val="00D000D7"/>
    <w:rsid w:val="00D02D2E"/>
    <w:rsid w:val="00D04278"/>
    <w:rsid w:val="00D0436B"/>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5728"/>
    <w:rsid w:val="00D2656E"/>
    <w:rsid w:val="00D27597"/>
    <w:rsid w:val="00D3097D"/>
    <w:rsid w:val="00D30DB4"/>
    <w:rsid w:val="00D31705"/>
    <w:rsid w:val="00D31AEF"/>
    <w:rsid w:val="00D33D3B"/>
    <w:rsid w:val="00D34A66"/>
    <w:rsid w:val="00D372F6"/>
    <w:rsid w:val="00D37BB9"/>
    <w:rsid w:val="00D40150"/>
    <w:rsid w:val="00D40723"/>
    <w:rsid w:val="00D4085B"/>
    <w:rsid w:val="00D42554"/>
    <w:rsid w:val="00D435C2"/>
    <w:rsid w:val="00D43F0A"/>
    <w:rsid w:val="00D44F0F"/>
    <w:rsid w:val="00D4511B"/>
    <w:rsid w:val="00D456FF"/>
    <w:rsid w:val="00D47761"/>
    <w:rsid w:val="00D47A1C"/>
    <w:rsid w:val="00D535F5"/>
    <w:rsid w:val="00D576C5"/>
    <w:rsid w:val="00D57AF3"/>
    <w:rsid w:val="00D57FEC"/>
    <w:rsid w:val="00D6066F"/>
    <w:rsid w:val="00D61215"/>
    <w:rsid w:val="00D61DA9"/>
    <w:rsid w:val="00D622B4"/>
    <w:rsid w:val="00D62543"/>
    <w:rsid w:val="00D62A52"/>
    <w:rsid w:val="00D65537"/>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582"/>
    <w:rsid w:val="00DB7678"/>
    <w:rsid w:val="00DB783F"/>
    <w:rsid w:val="00DC0050"/>
    <w:rsid w:val="00DC3B95"/>
    <w:rsid w:val="00DC538D"/>
    <w:rsid w:val="00DC547C"/>
    <w:rsid w:val="00DC5712"/>
    <w:rsid w:val="00DC6F4D"/>
    <w:rsid w:val="00DD017D"/>
    <w:rsid w:val="00DD47DD"/>
    <w:rsid w:val="00DD6758"/>
    <w:rsid w:val="00DE082B"/>
    <w:rsid w:val="00DE20C2"/>
    <w:rsid w:val="00DE2440"/>
    <w:rsid w:val="00DE5EF4"/>
    <w:rsid w:val="00DE5FBD"/>
    <w:rsid w:val="00DE6CF9"/>
    <w:rsid w:val="00DE779D"/>
    <w:rsid w:val="00DE7D34"/>
    <w:rsid w:val="00DF1C60"/>
    <w:rsid w:val="00DF3116"/>
    <w:rsid w:val="00DF351B"/>
    <w:rsid w:val="00DF3E88"/>
    <w:rsid w:val="00DF429C"/>
    <w:rsid w:val="00DF469B"/>
    <w:rsid w:val="00E026DF"/>
    <w:rsid w:val="00E03FCE"/>
    <w:rsid w:val="00E05E8A"/>
    <w:rsid w:val="00E06106"/>
    <w:rsid w:val="00E066C8"/>
    <w:rsid w:val="00E06B08"/>
    <w:rsid w:val="00E06DDF"/>
    <w:rsid w:val="00E10326"/>
    <w:rsid w:val="00E10C32"/>
    <w:rsid w:val="00E12B89"/>
    <w:rsid w:val="00E14CE3"/>
    <w:rsid w:val="00E14E7D"/>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2185"/>
    <w:rsid w:val="00E82693"/>
    <w:rsid w:val="00E82788"/>
    <w:rsid w:val="00E836D1"/>
    <w:rsid w:val="00E83902"/>
    <w:rsid w:val="00E84338"/>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3FB5"/>
    <w:rsid w:val="00EA42EF"/>
    <w:rsid w:val="00EA5168"/>
    <w:rsid w:val="00EA5FB2"/>
    <w:rsid w:val="00EA74C5"/>
    <w:rsid w:val="00EB1B0A"/>
    <w:rsid w:val="00EB2BA7"/>
    <w:rsid w:val="00EB61C6"/>
    <w:rsid w:val="00EB6BE7"/>
    <w:rsid w:val="00EC07FE"/>
    <w:rsid w:val="00EC2CE5"/>
    <w:rsid w:val="00EC2E67"/>
    <w:rsid w:val="00EC678B"/>
    <w:rsid w:val="00EC720F"/>
    <w:rsid w:val="00EC7F70"/>
    <w:rsid w:val="00ED0C11"/>
    <w:rsid w:val="00ED1A12"/>
    <w:rsid w:val="00ED1C39"/>
    <w:rsid w:val="00ED217F"/>
    <w:rsid w:val="00ED2485"/>
    <w:rsid w:val="00ED26D7"/>
    <w:rsid w:val="00ED316F"/>
    <w:rsid w:val="00ED39D5"/>
    <w:rsid w:val="00ED65AF"/>
    <w:rsid w:val="00ED6A14"/>
    <w:rsid w:val="00ED773E"/>
    <w:rsid w:val="00ED7795"/>
    <w:rsid w:val="00EE0C11"/>
    <w:rsid w:val="00EE0EF2"/>
    <w:rsid w:val="00EE16B8"/>
    <w:rsid w:val="00EE2EA2"/>
    <w:rsid w:val="00EE31F3"/>
    <w:rsid w:val="00EE667A"/>
    <w:rsid w:val="00EE678C"/>
    <w:rsid w:val="00EF0798"/>
    <w:rsid w:val="00EF10F7"/>
    <w:rsid w:val="00EF15B3"/>
    <w:rsid w:val="00EF38BF"/>
    <w:rsid w:val="00EF414D"/>
    <w:rsid w:val="00EF4C3F"/>
    <w:rsid w:val="00EF698E"/>
    <w:rsid w:val="00EF6FAE"/>
    <w:rsid w:val="00EF786E"/>
    <w:rsid w:val="00F0072B"/>
    <w:rsid w:val="00F00A0F"/>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1051"/>
    <w:rsid w:val="00F22702"/>
    <w:rsid w:val="00F2289D"/>
    <w:rsid w:val="00F24D72"/>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29D0"/>
    <w:rsid w:val="00F63651"/>
    <w:rsid w:val="00F637C3"/>
    <w:rsid w:val="00F63972"/>
    <w:rsid w:val="00F65BFF"/>
    <w:rsid w:val="00F67F4B"/>
    <w:rsid w:val="00F700C5"/>
    <w:rsid w:val="00F7058C"/>
    <w:rsid w:val="00F70698"/>
    <w:rsid w:val="00F721C8"/>
    <w:rsid w:val="00F73F1F"/>
    <w:rsid w:val="00F75165"/>
    <w:rsid w:val="00F77743"/>
    <w:rsid w:val="00F80181"/>
    <w:rsid w:val="00F81D22"/>
    <w:rsid w:val="00F825AC"/>
    <w:rsid w:val="00F84CB6"/>
    <w:rsid w:val="00F85BD3"/>
    <w:rsid w:val="00F86448"/>
    <w:rsid w:val="00F8682C"/>
    <w:rsid w:val="00F90E18"/>
    <w:rsid w:val="00F90E1B"/>
    <w:rsid w:val="00F92013"/>
    <w:rsid w:val="00F976DC"/>
    <w:rsid w:val="00FA00E1"/>
    <w:rsid w:val="00FA03A5"/>
    <w:rsid w:val="00FA1EE5"/>
    <w:rsid w:val="00FA2448"/>
    <w:rsid w:val="00FA3D40"/>
    <w:rsid w:val="00FA4CAA"/>
    <w:rsid w:val="00FA5705"/>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671"/>
    <w:rsid w:val="00FE5EFA"/>
    <w:rsid w:val="00FE7291"/>
    <w:rsid w:val="00FF042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18D728B-0968-4E9C-A12A-905203892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table" w:styleId="TableGridLight">
    <w:name w:val="Grid Table Light"/>
    <w:basedOn w:val="TableNormal"/>
    <w:uiPriority w:val="40"/>
    <w:rsid w:val="004D08E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650452042">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74805562">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2" ma:contentTypeDescription="Create a new document." ma:contentTypeScope="" ma:versionID="f43a61e75ce4d53ee72ef5214cf1d9a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d851fa61f6add7567452c25e35ee75ac"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purl.org/dc/elements/1.1/"/>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963e4a72-2589-4378-83c5-1047762f75d4"/>
    <ds:schemaRef ds:uri="b782a749-144d-48ae-8b94-9ef0c78e12a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4.xml><?xml version="1.0" encoding="utf-8"?>
<ds:datastoreItem xmlns:ds="http://schemas.openxmlformats.org/officeDocument/2006/customXml" ds:itemID="{5C4872D6-5BEF-4419-BD53-5E5F97DD2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596</Words>
  <Characters>3400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Chiranjib Saha</cp:lastModifiedBy>
  <cp:revision>2</cp:revision>
  <cp:lastPrinted>2020-02-10T06:14:00Z</cp:lastPrinted>
  <dcterms:created xsi:type="dcterms:W3CDTF">2023-08-11T17:24:00Z</dcterms:created>
  <dcterms:modified xsi:type="dcterms:W3CDTF">2023-08-11T17:24:00Z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